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spacing w:lineRule="auto" w:line="240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overflowPunct w:val="true"/>
        <w:spacing w:lineRule="auto" w:line="240"/>
        <w:jc w:val="center"/>
        <w:textAlignment w:val="baseline"/>
        <w:rPr/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b/>
          <w:color w:val="000000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750" w:type="dxa"/>
        <w:jc w:val="left"/>
        <w:tblInd w:w="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750"/>
      </w:tblGrid>
      <w:tr>
        <w:trPr>
          <w:trHeight w:val="679" w:hRule="atLeast"/>
        </w:trPr>
        <w:tc>
          <w:tcPr>
            <w:tcW w:w="9750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bidi w:val="0"/>
              <w:spacing w:before="0" w:after="0"/>
              <w:ind w:hanging="0" w:left="-113" w:right="113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Cs w:val="20"/>
                <w:lang w:eastAsia="en-US"/>
              </w:rPr>
              <w:t>от 20.02.2026                                            п.г.т. Тугулым                                                          № 89</w:t>
            </w:r>
          </w:p>
        </w:tc>
      </w:tr>
    </w:tbl>
    <w:p>
      <w:pPr>
        <w:pStyle w:val="Normal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Об утверждении перечня муниципальных услуг,</w:t>
      </w:r>
    </w:p>
    <w:p>
      <w:pPr>
        <w:pStyle w:val="Normal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предоставление которых организуется через многофункциональный центр</w:t>
      </w:r>
    </w:p>
    <w:p>
      <w:pPr>
        <w:pStyle w:val="Normal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по принципу «одного окна» на территории Тугулымского муниципального округа</w:t>
      </w:r>
    </w:p>
    <w:p>
      <w:pPr>
        <w:pStyle w:val="Normal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/>
      </w:pPr>
      <w:r>
        <w:rPr>
          <w:rFonts w:ascii="Liberation Serif" w:hAnsi="Liberation Serif"/>
        </w:rPr>
        <w:tab/>
        <w:t xml:space="preserve">В соответствии с </w:t>
      </w:r>
      <w:hyperlink r:id="rId3">
        <w:r>
          <w:rPr>
            <w:rStyle w:val="Style8"/>
            <w:rFonts w:ascii="Liberation Serif" w:hAnsi="Liberation Serif"/>
          </w:rPr>
          <w:t>пунктом 3 части 6 статьи 15</w:t>
        </w:r>
      </w:hyperlink>
      <w:r>
        <w:rPr>
          <w:rFonts w:ascii="Liberation Serif" w:hAnsi="Liberation Serif"/>
        </w:rPr>
        <w:t xml:space="preserve"> Федерального закона от 27 июля 2010 года № 210-ФЗ «Об организации предоставления государственных и муниципальных услуг», Федеральным </w:t>
      </w:r>
      <w:hyperlink r:id="rId4">
        <w:r>
          <w:rPr>
            <w:rStyle w:val="Style8"/>
            <w:rFonts w:ascii="Liberation Serif" w:hAnsi="Liberation Serif"/>
          </w:rPr>
          <w:t>законом</w:t>
        </w:r>
      </w:hyperlink>
      <w:r>
        <w:rPr>
          <w:rFonts w:ascii="Liberation Serif" w:hAnsi="Liberation Serif"/>
        </w:rPr>
        <w:t xml:space="preserve"> от 28 июля 2012 года № 133-ФЗ «О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«одного окна», руководствуясь Уставом Тугулымского муниципального округа, администрация Тугулымского муниципального округа 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ПОСТАНОВЛЯЕТ: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widowControl/>
        <w:numPr>
          <w:ilvl w:val="0"/>
          <w:numId w:val="1"/>
        </w:numPr>
        <w:bidi w:val="0"/>
        <w:spacing w:before="0" w:after="0"/>
        <w:ind w:firstLine="737" w:left="0" w:right="0"/>
        <w:jc w:val="both"/>
        <w:rPr/>
      </w:pPr>
      <w:r>
        <w:rPr>
          <w:rFonts w:ascii="Liberation Serif" w:hAnsi="Liberation Serif"/>
        </w:rPr>
        <w:t xml:space="preserve">Утвердить </w:t>
      </w:r>
      <w:hyperlink w:anchor="Par37">
        <w:r>
          <w:rPr>
            <w:rStyle w:val="Style8"/>
            <w:rFonts w:ascii="Liberation Serif" w:hAnsi="Liberation Serif"/>
          </w:rPr>
          <w:t>перечень</w:t>
        </w:r>
      </w:hyperlink>
      <w:r>
        <w:rPr>
          <w:rFonts w:ascii="Liberation Serif" w:hAnsi="Liberation Serif"/>
        </w:rPr>
        <w:t xml:space="preserve"> муниципальных услуг, предоставление которых организуется через многофункциональный центр по принципу «одного окна» на территории Тугулымского муниципального округа (прилагается).</w:t>
      </w:r>
    </w:p>
    <w:p>
      <w:pPr>
        <w:pStyle w:val="Normal"/>
        <w:widowControl/>
        <w:numPr>
          <w:ilvl w:val="0"/>
          <w:numId w:val="1"/>
        </w:numPr>
        <w:bidi w:val="0"/>
        <w:spacing w:before="0" w:after="0"/>
        <w:ind w:firstLine="737" w:left="0" w:right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Постановление администрации Тугулымского городского округа от 10.07.2023 № 237 «О перечне муниципальных услуг, предоставление которых организуется через многофункциональный центр по принципу «одного окна» на территории Тугулымского городского округа» признать утратившим силу.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 xml:space="preserve">3. </w:t>
        <w:tab/>
        <w:t>Настоящее постановление опубликовать в специальном выпуске муниципальной общественно-политической газеты «Знамя труда» - «Муниципальный вестник» и разместить на официальном сайте администрации Тугулымского муниципального округа.</w:t>
      </w:r>
    </w:p>
    <w:p>
      <w:pPr>
        <w:pStyle w:val="Normal"/>
        <w:jc w:val="both"/>
        <w:rPr>
          <w:szCs w:val="20"/>
        </w:rPr>
      </w:pPr>
      <w:r>
        <w:rPr>
          <w:rFonts w:ascii="Liberation Serif" w:hAnsi="Liberation Serif"/>
        </w:rPr>
        <w:tab/>
        <w:t xml:space="preserve">4.     </w:t>
      </w:r>
      <w:r>
        <w:rPr>
          <w:rFonts w:ascii="Liberation Serif" w:hAnsi="Liberation Serif"/>
          <w:szCs w:val="20"/>
        </w:rPr>
        <w:t>Контроль исполнения настоящего постановления возложить на заместителя главы Тугулымского муниципального округа Кизерова К.В.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Глава  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Тугулымского муниципального округа                                                                       А.Н. Поздеев 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Утвержден  </w:t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постановлением администрации </w:t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</w:t>
      </w:r>
      <w:r>
        <w:rPr>
          <w:rFonts w:ascii="Liberation Serif" w:hAnsi="Liberation Serif"/>
        </w:rPr>
        <w:t>Тугулымского муниципального округа</w:t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от 20.02.2026 № 89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widowControl w:val="false"/>
        <w:ind w:firstLine="54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widowControl w:val="false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>ПЕРЕЧЕНЬ</w:t>
      </w:r>
    </w:p>
    <w:p>
      <w:pPr>
        <w:pStyle w:val="ConsPlusTitle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муниципальных услуг, предоставление которых организуется </w:t>
      </w:r>
    </w:p>
    <w:p>
      <w:pPr>
        <w:pStyle w:val="ConsPlusTitle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через многофункциональный центр по принципу «одного окна» </w:t>
      </w:r>
    </w:p>
    <w:p>
      <w:pPr>
        <w:pStyle w:val="ConsPlusTitle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на территории Тугулымского муниципального округа</w:t>
      </w:r>
    </w:p>
    <w:p>
      <w:pPr>
        <w:pStyle w:val="ConsPlusTitle"/>
        <w:jc w:val="both"/>
        <w:rPr>
          <w:rFonts w:ascii="Liberation Serif" w:hAnsi="Liberation Serif"/>
          <w:b w:val="false"/>
        </w:rPr>
      </w:pPr>
      <w:r>
        <w:rPr>
          <w:rFonts w:ascii="Liberation Serif" w:hAnsi="Liberation Serif"/>
          <w:b w:val="false"/>
        </w:rPr>
      </w:r>
    </w:p>
    <w:tbl>
      <w:tblPr>
        <w:tblW w:w="9600" w:type="dxa"/>
        <w:jc w:val="left"/>
        <w:tblInd w:w="75" w:type="dxa"/>
        <w:tblLayout w:type="fixed"/>
        <w:tblCellMar>
          <w:top w:w="0" w:type="dxa"/>
          <w:left w:w="75" w:type="dxa"/>
          <w:bottom w:w="0" w:type="dxa"/>
          <w:right w:w="75" w:type="dxa"/>
        </w:tblCellMar>
        <w:tblLook w:val="0000" w:noHBand="0" w:noVBand="0" w:firstColumn="0" w:lastRow="0" w:lastColumn="0" w:firstRow="0"/>
      </w:tblPr>
      <w:tblGrid>
        <w:gridCol w:w="849"/>
        <w:gridCol w:w="5672"/>
        <w:gridCol w:w="3079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Наименование муниципальной услуги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Ответственный исполнитель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bookmarkStart w:id="1" w:name="Par501"/>
            <w:bookmarkStart w:id="2" w:name="Par501"/>
            <w:bookmarkEnd w:id="2"/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00"/>
              </w:rPr>
              <w:t>Постановка на учет и направление детей в образовательные учреждения, реализующие основные программы дошкольного образования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Управление образования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муниципальными образовательными организациями, реализующими образовательные программы начального общего, основного общего и среднего общего образования на территории Тугулымского муниципального округа муниципальной услуги «Прием заявлений о зачислении в муниципальные образовательные организации    субъектов Российской Федерации, реализующие программы общего образования»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Управление образования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Cs/>
              </w:rPr>
              <w:t>Организация отдыха и оздоровления детей в каникулярное время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Управление образования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путевок в организации отдыха детей</w:t>
              <w:br/>
              <w:t xml:space="preserve"> и их оздоровления в учебное время (за исключением детей-сирот и детей, оставшихся без попечения родителей, детей, находящихся в трудной жизненной ситуации)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Управление образования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Запись на обучение по дополнительной образовательной программе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Управление образования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bookmarkStart w:id="3" w:name="Par523"/>
            <w:bookmarkStart w:id="4" w:name="Par523"/>
            <w:bookmarkEnd w:id="4"/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Выдача разрешения на право организации розничных рынков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Переоформление разрешений на право организации розничного рынка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Продление разрешений на право организации розничного рынка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bookmarkStart w:id="5" w:name="Par540"/>
            <w:bookmarkStart w:id="6" w:name="Par540"/>
            <w:bookmarkEnd w:id="6"/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 CYR" w:ascii="Liberation Serif" w:hAnsi="Liberation Serif"/>
                <w:bCs/>
                <w:iCs/>
              </w:rPr>
              <w:t>Предоставление субсидий на оплату жилого помещения и коммунальных услуг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субсидий и компенсаций Административно-хозяйственного управления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компенсации расходов на оплату жилого помещения и коммунальных услуг отдельным категориям граждан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субсидий и компенсаций Административно-хозяйственного управления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Оказание материальной помощи отдельным категориям граждан, проживающим на территории муниципального образования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Администрация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Осуществление дополнительных мер социальной поддержки некоторых категорий граждан, проживающих на территории муниципального образования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Администрация Тугулымского муниципального округа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Выдача разрешений на вступление в брак несовершеннолетним лицам, достигшим возраста шестнадцати лет на территории муниципального образования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Юридический отдел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в собственность, аренду земельных участков, находящихся в государственной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огородничества,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Утверждение схемы расположения земельного участка или земельных участков на кадастровом плане территорий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в собственность, постоянное (бессрочное) пользование,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на которых расположены здания, сооружения, собственникам таких зданий, сооружений, либо помещений в них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информации об объектах учета, содержащейся в реестре муниципального имущества Тугулымского муниципального округа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муниципального имущества в аренду без проведения торгов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однократно бесплатно в собственность земельных участков гражданам для индивидуального жилищного строительства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Приватизация жилого помещения муниципального жилищного фонда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Принятие на учет граждан в качестве лиц, имеющих право на предоставление в собственность бесплатно земельных участков для индивидуального жилищного строительства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 CYR" w:ascii="Liberation Serif" w:hAnsi="Liberation Serif"/>
                <w:bCs/>
                <w:iCs/>
              </w:rPr>
              <w:t>Согласование местоположения границ земельных участков, находящихся в муниципальной собственности или в государственной собственности до ее разграничения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Заключение договора на размещение нестационарного торгового объекта на земельных участках, находящихся в государственной или муниципальной собственности, и земельных участках, государственная собственность на которые не разграничена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Включение жилых помещений в состав специализированного жилищного фонда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Выдача разрешений на установку рекламных конструкций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строительства и архитектуры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строительства и архитектуры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разрешения на осуществление земляных работ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строительства и архитектуры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bookmarkStart w:id="7" w:name="Par632"/>
            <w:bookmarkStart w:id="8" w:name="Par632"/>
            <w:bookmarkEnd w:id="8"/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Cs/>
              </w:rPr>
              <w:t>Согласование проведения переустройства и (или) перепланировки помещения в многоквартирном доме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строительства и архитектуры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Cs/>
              </w:rPr>
              <w:t>Выдача градостроительного плана земельного участка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строительства и архитектуры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Выдача разрешения на строительство объекта</w:t>
            </w:r>
            <w:r>
              <w:rPr>
                <w:rFonts w:ascii="Liberation Serif" w:hAnsi="Liberation Serif"/>
                <w:b/>
              </w:rPr>
              <w:t xml:space="preserve"> </w:t>
            </w:r>
            <w:r>
              <w:rPr>
                <w:rFonts w:ascii="Liberation Serif" w:hAnsi="Liberation Serif"/>
              </w:rPr>
              <w:t>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строительства и архитектуры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Присвоение адреса объекту адресации, изменение и аннулирование такого адреса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строительства и архитектуры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Cs/>
              </w:rPr>
              <w:t>Предоставление сведений, документов и материалов, содержащихся в государственной информационной системе обеспечения градостроительной деятельности Свердловской области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строительства и архитектуры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Cs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строительства и архитектуры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Cs/>
              </w:rPr>
              <w:t>Выдача разрешения на ввод объекта в эксплуатацию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строительства и архитектуры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bookmarkStart w:id="9" w:name="Par671"/>
            <w:bookmarkStart w:id="10" w:name="Par678"/>
            <w:bookmarkStart w:id="11" w:name="Par671"/>
            <w:bookmarkStart w:id="12" w:name="Par678"/>
            <w:bookmarkEnd w:id="11"/>
            <w:bookmarkEnd w:id="12"/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Признание молодых семей нуждающимися в улучшении жилищных условий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по физической культуре, спорту и молодежной политике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Признание молодых семей участниками подпрограммы «Обеспечение жильем молодых семей»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по физической культуре, спорту и молодежной политике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по физической культуре, спорту и молодежной политике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Оформление дубликата договора социального найма жилого помещения муниципального жилищного фонда, договора найма жилого помещения муниципального специализированного жилищного фонда, ордера на жилое помещение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жилого помещения муниципального жилищного фонда по договору найма в специализированном жилищном фонде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Перевод жилого помещения в нежилое помещение и нежилого помещения в жилое помещение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строительства и архитектуры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Выдача разрешения (отказа) нанимателю жилого помещения по договору социального найма на вселение нового члена семьи (временных жильцов)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жилого помещения муниципального жилищного фонда по договору социального найма, изменение договора социального найма жилого помещения и его расторжение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Предоставление гражданам жилых помещений в связи с переселением их из ветхого жилищного фонда и зон застройки (сноса)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строительства и архитектуры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Признание в установленном порядке жилых помещений муниципального жилищного фонда непригодными для проживания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строительства и архитектуры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Cs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строительства и архитектуры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строительства и архитектуры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  <w:bookmarkStart w:id="13" w:name="Par694"/>
            <w:bookmarkStart w:id="14" w:name="Par694"/>
            <w:bookmarkEnd w:id="14"/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Cs/>
              </w:rPr>
              <w:t>Выдача копий архивных документов, подтверждающих право на владение землей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Архивный отдел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00"/>
              </w:rPr>
              <w:t>Предоставление архивных справок, архивных копий, архивных выписок, информационных писем, связанных с реализацией законных прав и свобод граждан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Архивный отдел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Выдача разрешения на использование земель или земельных участков из состава земель, государственная собственность на которые не разграничена, и земель, находящихся в муниципальной собственности, без предоставления земельных участков и установления сервитута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строительства и архитектуры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Признание садового дома жилым домом и жилого дома садовым домом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строительства и архитектуры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строительства и архитектуры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Выдача разрешений на право вырубки зеленых насаждений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строительства и архитектуры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Cs/>
              </w:rPr>
              <w:t>Предварительное согласование предоставления земельных участков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Cs/>
              </w:rPr>
              <w:t>Установление публичного сервитута в соответствии с главой V.7. Земельного кодекса Российской Федерации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Cs/>
              </w:rPr>
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Cs/>
              </w:rPr>
              <w:t>Установление сервитута в отношении земельного участка, находящегося в государственной или муниципальной собственности или государственная собственность на который не разграничена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 CYR" w:ascii="Liberation Serif" w:hAnsi="Liberation Serif"/>
                <w:bCs/>
                <w:iCs/>
              </w:rPr>
              <w:t>Передача в собственность граждан занимаемых ими жилых помещений жилищного фонда (приватизация жилищного фонда)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 CYR" w:ascii="Liberation Serif" w:hAnsi="Liberation Serif"/>
                <w:bCs/>
                <w:iCs/>
              </w:rPr>
              <w:t>Подготовка и утверждение документации по планировке территории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строительства и архитектуры  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 CYR" w:ascii="Liberation Serif" w:hAnsi="Liberation Serif"/>
                <w:bCs/>
                <w:iCs/>
              </w:rPr>
              <w:t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 категорию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eastAsia="Times New Roman CYR" w:ascii="Liberation Serif" w:hAnsi="Liberation Serif"/>
                <w:bCs/>
                <w:iCs/>
              </w:rPr>
              <w:t>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</w:tbl>
    <w:p>
      <w:pPr>
        <w:pStyle w:val="Normal"/>
        <w:widowControl w:val="false"/>
        <w:numPr>
          <w:ilvl w:val="0"/>
          <w:numId w:val="0"/>
        </w:numPr>
        <w:ind w:hanging="0" w:left="0"/>
        <w:outlineLvl w:val="0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sectPr>
      <w:type w:val="nextPage"/>
      <w:pgSz w:w="11906" w:h="16838"/>
      <w:pgMar w:left="1418" w:right="851" w:gutter="0" w:header="0" w:top="850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swiss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7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6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val="bestFit" w:percent="190"/>
  <w:embedSystemFonts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iPriority="99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4c0b9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3">
    <w:name w:val="heading 3"/>
    <w:basedOn w:val="Normal"/>
    <w:link w:val="3"/>
    <w:uiPriority w:val="99"/>
    <w:qFormat/>
    <w:rsid w:val="00ee13f6"/>
    <w:pPr>
      <w:spacing w:beforeAutospacing="1" w:afterAutospacing="1"/>
      <w:outlineLvl w:val="2"/>
    </w:pPr>
    <w:rPr>
      <w:rFonts w:ascii="Calibri" w:hAnsi="Calibri"/>
      <w:b/>
      <w:bCs/>
      <w:sz w:val="27"/>
      <w:szCs w:val="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Основной текст_"/>
    <w:link w:val="1"/>
    <w:qFormat/>
    <w:rsid w:val="004b0fa2"/>
    <w:rPr>
      <w:sz w:val="22"/>
      <w:szCs w:val="22"/>
      <w:shd w:fill="FFFFFF" w:val="clear"/>
      <w:lang w:bidi="ar-SA"/>
    </w:rPr>
  </w:style>
  <w:style w:type="character" w:styleId="Style14" w:customStyle="1">
    <w:name w:val="Верхний колонтитул Знак"/>
    <w:qFormat/>
    <w:rsid w:val="004b0fa2"/>
    <w:rPr>
      <w:lang w:val="ru-RU" w:eastAsia="ru-RU" w:bidi="ar-SA"/>
    </w:rPr>
  </w:style>
  <w:style w:type="character" w:styleId="Style15" w:customStyle="1">
    <w:name w:val="Нижний колонтитул Знак"/>
    <w:qFormat/>
    <w:rsid w:val="004b0fa2"/>
    <w:rPr>
      <w:lang w:val="ru-RU" w:eastAsia="ru-RU" w:bidi="ar-SA"/>
    </w:rPr>
  </w:style>
  <w:style w:type="character" w:styleId="Style16" w:customStyle="1">
    <w:name w:val="Основной текст Знак"/>
    <w:basedOn w:val="DefaultParagraphFont"/>
    <w:qFormat/>
    <w:rsid w:val="00a71353"/>
    <w:rPr>
      <w:sz w:val="24"/>
      <w:szCs w:val="24"/>
    </w:rPr>
  </w:style>
  <w:style w:type="character" w:styleId="Style17" w:customStyle="1">
    <w:name w:val="Текст выноски Знак"/>
    <w:basedOn w:val="DefaultParagraphFont"/>
    <w:link w:val="BalloonText"/>
    <w:qFormat/>
    <w:rsid w:val="00d02b6e"/>
    <w:rPr>
      <w:rFonts w:ascii="Tahoma" w:hAnsi="Tahoma" w:cs="Tahoma"/>
      <w:sz w:val="16"/>
      <w:szCs w:val="16"/>
    </w:rPr>
  </w:style>
  <w:style w:type="character" w:styleId="Style18" w:customStyle="1">
    <w:name w:val="Заголовок Знак"/>
    <w:basedOn w:val="DefaultParagraphFont"/>
    <w:qFormat/>
    <w:locked/>
    <w:rsid w:val="00d02b6e"/>
    <w:rPr>
      <w:b/>
      <w:sz w:val="24"/>
    </w:rPr>
  </w:style>
  <w:style w:type="character" w:styleId="3" w:customStyle="1">
    <w:name w:val="Заголовок 3 Знак"/>
    <w:basedOn w:val="DefaultParagraphFont"/>
    <w:uiPriority w:val="99"/>
    <w:qFormat/>
    <w:rsid w:val="00ee13f6"/>
    <w:rPr>
      <w:rFonts w:ascii="Calibri" w:hAnsi="Calibri"/>
      <w:b/>
      <w:bCs/>
      <w:sz w:val="27"/>
      <w:szCs w:val="27"/>
    </w:rPr>
  </w:style>
  <w:style w:type="character" w:styleId="Hyperlink">
    <w:name w:val="Hyperlink"/>
    <w:rPr>
      <w:color w:val="000080"/>
      <w:u w:val="single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16"/>
    <w:rsid w:val="00a71353"/>
    <w:pPr>
      <w:spacing w:before="0" w:after="12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8"/>
    <w:qFormat/>
    <w:rsid w:val="004c0b99"/>
    <w:pPr>
      <w:jc w:val="center"/>
    </w:pPr>
    <w:rPr>
      <w:b/>
      <w:szCs w:val="20"/>
    </w:rPr>
  </w:style>
  <w:style w:type="paragraph" w:styleId="BodyText3">
    <w:name w:val="Body Text 3"/>
    <w:basedOn w:val="Normal"/>
    <w:qFormat/>
    <w:rsid w:val="004c0b99"/>
    <w:pPr>
      <w:jc w:val="both"/>
    </w:pPr>
    <w:rPr>
      <w:szCs w:val="20"/>
    </w:rPr>
  </w:style>
  <w:style w:type="paragraph" w:styleId="ConsPlusTitle" w:customStyle="1">
    <w:name w:val="ConsPlusTitle"/>
    <w:qFormat/>
    <w:rsid w:val="004c0b99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/>
      <w:color w:val="auto"/>
      <w:kern w:val="0"/>
      <w:sz w:val="24"/>
      <w:szCs w:val="20"/>
      <w:lang w:val="ru-RU" w:eastAsia="ru-RU" w:bidi="ar-SA"/>
    </w:rPr>
  </w:style>
  <w:style w:type="paragraph" w:styleId="ConsPlusNormal" w:customStyle="1">
    <w:name w:val="ConsPlusNormal"/>
    <w:qFormat/>
    <w:rsid w:val="004c0b99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21" w:customStyle="1">
    <w:name w:val="Знак Знак Знак Знак"/>
    <w:basedOn w:val="Normal"/>
    <w:autoRedefine/>
    <w:qFormat/>
    <w:rsid w:val="004b0fa2"/>
    <w:pPr>
      <w:spacing w:lineRule="exact" w:line="240" w:before="0" w:after="160"/>
    </w:pPr>
    <w:rPr>
      <w:rFonts w:eastAsia="SimSun"/>
      <w:b/>
      <w:sz w:val="28"/>
      <w:lang w:val="en-US" w:eastAsia="en-US"/>
    </w:rPr>
  </w:style>
  <w:style w:type="paragraph" w:styleId="1" w:customStyle="1">
    <w:name w:val="Основной текст1"/>
    <w:basedOn w:val="Normal"/>
    <w:link w:val="Style13"/>
    <w:qFormat/>
    <w:rsid w:val="004b0fa2"/>
    <w:pPr>
      <w:shd w:val="clear" w:color="auto" w:fill="FFFFFF"/>
      <w:spacing w:lineRule="atLeast" w:line="0" w:before="0" w:after="300"/>
    </w:pPr>
    <w:rPr>
      <w:sz w:val="22"/>
      <w:szCs w:val="22"/>
      <w:shd w:fill="FFFFFF" w:val="clear"/>
    </w:rPr>
  </w:style>
  <w:style w:type="paragraph" w:styleId="ConsPlusNonformat" w:customStyle="1">
    <w:name w:val="ConsPlusNonformat"/>
    <w:qFormat/>
    <w:rsid w:val="004b0fa2"/>
    <w:pPr>
      <w:widowControl/>
      <w:suppressAutoHyphens w:val="true"/>
      <w:bidi w:val="0"/>
      <w:spacing w:before="0" w:after="0"/>
      <w:jc w:val="left"/>
    </w:pPr>
    <w:rPr>
      <w:rFonts w:ascii="Courier New" w:hAnsi="Courier New" w:eastAsia="Calibri" w:cs="Courier New"/>
      <w:color w:val="auto"/>
      <w:kern w:val="0"/>
      <w:sz w:val="20"/>
      <w:szCs w:val="20"/>
      <w:lang w:val="ru-RU" w:eastAsia="en-US" w:bidi="ar-SA"/>
    </w:rPr>
  </w:style>
  <w:style w:type="paragraph" w:styleId="user2">
    <w:name w:val="Колонтитулы (user)"/>
    <w:basedOn w:val="Normal"/>
    <w:qFormat/>
    <w:pPr/>
    <w:rPr/>
  </w:style>
  <w:style w:type="paragraph" w:styleId="Style22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rsid w:val="004b0fa2"/>
    <w:pPr>
      <w:widowControl w:val="false"/>
      <w:tabs>
        <w:tab w:val="clear" w:pos="708"/>
        <w:tab w:val="center" w:pos="4677" w:leader="none"/>
        <w:tab w:val="right" w:pos="9355" w:leader="none"/>
      </w:tabs>
    </w:pPr>
    <w:rPr>
      <w:sz w:val="20"/>
      <w:szCs w:val="20"/>
    </w:rPr>
  </w:style>
  <w:style w:type="paragraph" w:styleId="Footer">
    <w:name w:val="footer"/>
    <w:basedOn w:val="Normal"/>
    <w:link w:val="Style15"/>
    <w:rsid w:val="004b0fa2"/>
    <w:pPr>
      <w:widowControl w:val="false"/>
      <w:tabs>
        <w:tab w:val="clear" w:pos="708"/>
        <w:tab w:val="center" w:pos="4677" w:leader="none"/>
        <w:tab w:val="right" w:pos="9355" w:leader="none"/>
      </w:tabs>
    </w:pPr>
    <w:rPr>
      <w:sz w:val="20"/>
      <w:szCs w:val="20"/>
    </w:rPr>
  </w:style>
  <w:style w:type="paragraph" w:styleId="BalloonText">
    <w:name w:val="Balloon Text"/>
    <w:basedOn w:val="Normal"/>
    <w:link w:val="Style17"/>
    <w:qFormat/>
    <w:rsid w:val="00d02b6e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66c4"/>
    <w:pPr>
      <w:spacing w:before="0" w:after="0"/>
      <w:ind w:left="720"/>
      <w:contextualSpacing/>
    </w:pPr>
    <w:rPr/>
  </w:style>
  <w:style w:type="paragraph" w:styleId="11" w:customStyle="1">
    <w:name w:val="Абзац списка1"/>
    <w:basedOn w:val="Normal"/>
    <w:uiPriority w:val="99"/>
    <w:qFormat/>
    <w:rsid w:val="005075b2"/>
    <w:pPr>
      <w:ind w:left="720"/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consultantplus://offline/ref=EBD0D8EB08E4DAB82A79EB05260D0BC1CE33068FFD0087A4C5C8054FFC82B76C065D95EF34V8R6G" TargetMode="External"/><Relationship Id="rId4" Type="http://schemas.openxmlformats.org/officeDocument/2006/relationships/hyperlink" Target="consultantplus://offline/ref=EBD0D8EB08E4DAB82A79EB05260D0BC1CD350F8BFD0F87A4C5C8054FFCV8R2G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Application>LibreOffice/25.8.4.2$Linux_X86_64 LibreOffice_project/290daaa01b999472f0c7a3890eb6a550fd74c6df</Application>
  <AppVersion>15.0000</AppVersion>
  <Pages>8</Pages>
  <Words>1765</Words>
  <Characters>14373</Characters>
  <CharactersWithSpaces>16353</CharactersWithSpaces>
  <Paragraphs>219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2023-07-05T11:51:00Z</dcterms:created>
  <dc:creator>User</dc:creator>
  <dc:description/>
  <dc:language>ru-RU</dc:language>
  <cp:lastModifiedBy/>
  <cp:lastPrinted>2026-02-24T14:11:13Z</cp:lastPrinted>
  <dcterms:modified xsi:type="dcterms:W3CDTF">2026-02-24T14:29:29Z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